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5" w:line="199" w:lineRule="auto"/>
        <w:ind w:left="297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藏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政办发〔2022〕31</w:t>
      </w:r>
      <w:r>
        <w:rPr>
          <w:rFonts w:ascii="微软雅黑" w:hAnsi="微软雅黑" w:eastAsia="微软雅黑" w:cs="微软雅黑"/>
          <w:spacing w:val="-1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号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67" w:line="184" w:lineRule="auto"/>
        <w:ind w:left="1491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8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西</w:t>
      </w:r>
      <w:r>
        <w:rPr>
          <w:rFonts w:ascii="微软雅黑" w:hAnsi="微软雅黑" w:eastAsia="微软雅黑" w:cs="微软雅黑"/>
          <w:spacing w:val="26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藏自治区人民政府办公厅关于</w:t>
      </w:r>
    </w:p>
    <w:p>
      <w:pPr>
        <w:spacing w:before="1" w:line="192" w:lineRule="auto"/>
        <w:ind w:left="190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疾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1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-2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20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险</w:t>
      </w:r>
    </w:p>
    <w:p>
      <w:pPr>
        <w:spacing w:before="1" w:line="213" w:lineRule="auto"/>
        <w:ind w:left="2319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和救助制度的实施意见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24" w:line="200" w:lineRule="auto"/>
        <w:ind w:left="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</w:t>
      </w:r>
      <w:r>
        <w:rPr>
          <w:rFonts w:ascii="微软雅黑" w:hAnsi="微软雅黑" w:eastAsia="微软雅黑" w:cs="微软雅黑"/>
          <w:spacing w:val="-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(市)行署(人民政府)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区各委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、办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、厅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、局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>
      <w:pPr>
        <w:spacing w:before="180" w:line="286" w:lineRule="auto"/>
        <w:ind w:firstLine="63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据《国务院办公厅关于健全重特大疾病医疗保险和救助制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度的意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》(国办发〔2021〕42号)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精神及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区党委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政府关于深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化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医疗保障制度改革的部署要求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,结合我区实际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,提出如下实施意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见</w:t>
      </w:r>
      <w:r>
        <w:rPr>
          <w:rFonts w:ascii="微软雅黑" w:hAnsi="微软雅黑" w:eastAsia="微软雅黑" w:cs="微软雅黑"/>
          <w:spacing w:val="-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178" w:lineRule="auto"/>
        <w:ind w:left="6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总体要求</w:t>
      </w:r>
    </w:p>
    <w:p>
      <w:pPr>
        <w:spacing w:before="209" w:line="291" w:lineRule="auto"/>
        <w:ind w:left="5" w:firstLine="66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习近平新时代中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国特色社会主义思想为指导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全面贯彻党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的十九大和十九届历次全会精神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深入贯彻中央第七次西藏工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座谈会精神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深入贯彻习近平总书记关于西藏工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作的重要指示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精</w:t>
      </w:r>
    </w:p>
    <w:p>
      <w:pPr>
        <w:sectPr>
          <w:footerReference r:id="rId5" w:type="default"/>
          <w:pgSz w:w="10884" w:h="15193"/>
          <w:pgMar w:top="1291" w:right="1029" w:bottom="908" w:left="1043" w:header="0" w:footer="528" w:gutter="0"/>
          <w:cols w:space="720" w:num="1"/>
        </w:sectPr>
      </w:pPr>
    </w:p>
    <w:p>
      <w:pPr>
        <w:spacing w:before="60" w:line="287" w:lineRule="auto"/>
        <w:ind w:right="61" w:firstLine="1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神和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新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时代党的治藏方略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,按照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治区第十次党代会部署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人民为中心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坚持共同富裕方向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坚持应保尽保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、保障基本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尽力而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、量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而行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,推动民生改善更可持续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聚焦减轻困难群众重特大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疾病医疗费用负担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强化基本医保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、医疗救助综合保障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全防范和化解因病返贫致贫长效机制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细化实化政策措施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难群众基本医疗有保障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不因罹患重特大疾病影响基本生活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避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免过度保障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促进各类医疗保障互补衔接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提高重特大疾病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元医疗需求保障水平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,构建政府主导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、多方参与的多层次医疗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障体系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" w:line="179" w:lineRule="auto"/>
        <w:ind w:left="6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医疗救助对象范</w:t>
      </w:r>
      <w:r>
        <w:rPr>
          <w:rFonts w:ascii="黑体" w:hAnsi="黑体" w:eastAsia="黑体" w:cs="黑体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围</w:t>
      </w:r>
    </w:p>
    <w:p>
      <w:pPr>
        <w:spacing w:before="202" w:line="286" w:lineRule="auto"/>
        <w:ind w:right="70" w:firstLine="66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疗救助制度公平覆盖医疗费用负担较重的城乡居民和困难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职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,按照医疗救助对象类别实施分类救助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医疗救助对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包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括以下五类人员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</w:p>
    <w:p>
      <w:pPr>
        <w:spacing w:before="1" w:line="204" w:lineRule="auto"/>
        <w:ind w:left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:城乡特困救助供养对象(以下称特困人员)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65" w:line="286" w:lineRule="auto"/>
        <w:ind w:left="15" w:right="70" w:firstLine="62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孤儿(含事实无人抚养儿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度残疾人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4" w:line="285" w:lineRule="auto"/>
        <w:ind w:left="12" w:right="70" w:firstLine="63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三类救助对象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:城乡最低生活保障家庭成员(以下称低保对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" w:line="290" w:lineRule="auto"/>
        <w:ind w:right="70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纳入防止返贫致贫监测范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围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的易返贫致贫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(以下称易返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贫致贫人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,含脱贫不稳定户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、边缘易致贫户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病突发严重困难户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,下同)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,城乡困难低保边缘家庭成员(以下称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低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边缘对象)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,经工会部门认定的困难职工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ectPr>
          <w:footerReference r:id="rId6" w:type="default"/>
          <w:pgSz w:w="10884" w:h="15193"/>
          <w:pgMar w:top="1147" w:right="959" w:bottom="908" w:left="1042" w:header="0" w:footer="528" w:gutter="0"/>
          <w:cols w:space="720" w:num="1"/>
        </w:sectPr>
      </w:pPr>
    </w:p>
    <w:p>
      <w:pPr>
        <w:spacing w:before="69" w:line="287" w:lineRule="auto"/>
        <w:ind w:left="12" w:right="8" w:firstLine="638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五类救助对象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不属于以上四类救助对象但因高额医疗费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支出导致家庭基本生活出现严重困难的大病患者(以下称因病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贫重病患者)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以及县级以上人民政府规定的其他特殊困难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员</w:t>
      </w:r>
      <w:r>
        <w:rPr>
          <w:rFonts w:ascii="微软雅黑" w:hAnsi="微软雅黑" w:eastAsia="微软雅黑" w:cs="微软雅黑"/>
          <w:spacing w:val="-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192" w:lineRule="auto"/>
        <w:ind w:left="64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优化医疗救助资助参</w:t>
      </w: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</w:p>
    <w:p>
      <w:pPr>
        <w:spacing w:before="169" w:line="285" w:lineRule="auto"/>
        <w:ind w:firstLine="65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)完善分类资助参保政策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困难群众依法参加基本医保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规定享有三重制度保障权益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全面落实城乡居民基本医疗保险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(以下称居民医保)参保资助政策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,对第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、第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类救助对象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居民医保的按最高缴费档次给予全额资助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对第三类(含返贫致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,下同)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、第四类救助对象参加居民医保的按最高缴费档次给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予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定额资助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定额资助对象个人按居民医保最高缴费档次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10%缴</w:t>
      </w:r>
      <w:r>
        <w:rPr>
          <w:rFonts w:ascii="微软雅黑" w:hAnsi="微软雅黑" w:eastAsia="微软雅黑" w:cs="微软雅黑"/>
          <w:position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纳保险费后其余部分享受资助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参保资助覆盖民政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、乡村振兴、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、残联等部门年度内所有动态调整对象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多重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份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,缴费资助按照就高不就低原则确定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全额和定额参保资助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所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需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资金统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医疗救助资金解决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振兴局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、总工会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列第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位者为牵头部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下同〕</w:t>
      </w:r>
    </w:p>
    <w:p>
      <w:pPr>
        <w:spacing w:before="1" w:line="286" w:lineRule="auto"/>
        <w:ind w:left="9" w:righ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(二)抓实参保动员和缴费工作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各地(市)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(镇)政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府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、街道办事处要切实履行参保动员主体责任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,推进全民参保计划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地落实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做好分类参保资助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重点做好已脱贫人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参保动员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健全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跨部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多层次信息共享和交换机制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每月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25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区)民政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、乡村振兴、工会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、残联等部门将新增核准身份信息的资</w:t>
      </w:r>
    </w:p>
    <w:p>
      <w:pPr>
        <w:sectPr>
          <w:footerReference r:id="rId7" w:type="default"/>
          <w:pgSz w:w="10884" w:h="15193"/>
          <w:pgMar w:top="1147" w:right="1021" w:bottom="900" w:left="1036" w:header="0" w:footer="532" w:gutter="0"/>
          <w:cols w:space="720" w:num="1"/>
        </w:sectPr>
      </w:pPr>
    </w:p>
    <w:p>
      <w:pPr>
        <w:spacing w:before="61" w:line="287" w:lineRule="auto"/>
        <w:ind w:right="108" w:firstLine="8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保对象和退出人员名单以部门文件抄送同级医保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、税务部门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保部门做好参保身份变更,确保次月起享受医疗救助保障,对于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身份变更时未缴费的对象税务部门按规定及时开展个人费用征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-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民政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、工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、残联等部门年度内动态新增调整救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对象在当年年底集中缴费期享受相应资助参保政策,身份变更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参保缴费不再进行退费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适应人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流动和参保需求变化,灵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活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调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整救助对象参保缴费方式,确保及时参保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、应保尽保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-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、总工会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、残联,各地(市)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行署(人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政府)〕</w:t>
      </w:r>
    </w:p>
    <w:p>
      <w:pPr>
        <w:spacing w:before="1" w:line="178" w:lineRule="auto"/>
        <w:ind w:left="65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强化三重制度综合保障</w:t>
      </w:r>
    </w:p>
    <w:p>
      <w:pPr>
        <w:spacing w:before="193" w:line="285" w:lineRule="auto"/>
        <w:ind w:lef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(三)促进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重制度互补衔接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统筹发挥基本医保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医疗救助三重制度综合梯次减负功能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夯实基本医保主体保障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pacing w:val="3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,严格执行基本医保支付范围和标准,实施公平适度保障,巩固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住院待遇保障水平,补齐门诊保障短板;增强大病保险减负功能</w:t>
      </w: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全面落实大病保险普惠待遇政策基础上,在规定的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spacing w:val="28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年过渡期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内对特困人员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低保对象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返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贫致贫人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实施起付线降低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50%</w:t>
      </w:r>
      <w:r>
        <w:rPr>
          <w:rFonts w:ascii="微软雅黑" w:hAnsi="微软雅黑" w:eastAsia="微软雅黑" w:cs="微软雅黑"/>
          <w:spacing w:val="-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销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比例提高</w:t>
      </w:r>
      <w:r>
        <w:rPr>
          <w:rFonts w:ascii="微软雅黑" w:hAnsi="微软雅黑" w:eastAsia="微软雅黑" w:cs="微软雅黑"/>
          <w:spacing w:val="3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5%的倾斜保障政策;夯实医疗救助托底保障功能,按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照“先保险后救助”原则,对经基本医保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、大病保险等支付后个人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费用负担仍然较重的救助对象按规定实施救助,合力防范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返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致贫风险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不断完善易返贫致贫人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医保帮扶措施,推动实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现巩</w:t>
      </w:r>
      <w:r>
        <w:rPr>
          <w:rFonts w:ascii="微软雅黑" w:hAnsi="微软雅黑" w:eastAsia="微软雅黑" w:cs="微软雅黑"/>
          <w:spacing w:val="-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固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拓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脱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攻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成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果同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振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兴战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略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效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衔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接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保局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、银保监局)</w:t>
      </w:r>
    </w:p>
    <w:p>
      <w:pPr>
        <w:sectPr>
          <w:footerReference r:id="rId8" w:type="default"/>
          <w:pgSz w:w="10884" w:h="15193"/>
          <w:pgMar w:top="1147" w:right="913" w:bottom="904" w:left="1037" w:header="0" w:footer="528" w:gutter="0"/>
          <w:cols w:space="720" w:num="1"/>
        </w:sectPr>
      </w:pPr>
    </w:p>
    <w:p>
      <w:pPr>
        <w:spacing w:before="54" w:line="179" w:lineRule="auto"/>
        <w:ind w:left="62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夯实医疗救助托底保障</w:t>
      </w:r>
    </w:p>
    <w:p>
      <w:pPr>
        <w:spacing w:before="201" w:line="286" w:lineRule="auto"/>
        <w:ind w:left="1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(四)明确救助费用保障范围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坚持保基本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妥善解决救助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象政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策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范围内基本医疗需求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医疗救助费用主要覆盖救助对象在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4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点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医药机构发生的住院费用</w:t>
      </w:r>
      <w:r>
        <w:rPr>
          <w:rFonts w:ascii="微软雅黑" w:hAnsi="微软雅黑" w:eastAsia="微软雅黑" w:cs="微软雅黑"/>
          <w:spacing w:val="2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、因慢性病需长期服药或患重特大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疾病需长期门诊治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的费用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医疗救助基金支付的药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品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、医用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耗材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、医疗服务项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原则上应符合国家有关基本医保支付范围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规定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继续将救助对象未达到基本医保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、大病保险起付线的个人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付医疗费用按规定纳入救助保障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除国家和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区另有明确规</w:t>
      </w:r>
      <w:r>
        <w:rPr>
          <w:rFonts w:ascii="微软雅黑" w:hAnsi="微软雅黑" w:eastAsia="微软雅黑" w:cs="微软雅黑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定外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各地不得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行制定或用变通的方法擅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扩大至“三个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录”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以外的医疗费用保障范围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,各地(市)行署(人民政府)〕</w:t>
      </w:r>
    </w:p>
    <w:p>
      <w:pPr>
        <w:spacing w:before="2" w:line="285" w:lineRule="auto"/>
        <w:ind w:left="34" w:right="298" w:firstLine="61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五)合理确定医疗救助标准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按救助对象家庭困难情况和就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类型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,分类设定年度救助标准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,统筹加强住院和门诊救助保障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1" w:line="275" w:lineRule="auto"/>
        <w:ind w:right="298" w:firstLine="63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5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住院和门诊特殊病救助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救助对象政策范围内个人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疗费</w:t>
      </w:r>
      <w:r>
        <w:rPr>
          <w:rFonts w:ascii="微软雅黑" w:hAnsi="微软雅黑" w:eastAsia="微软雅黑" w:cs="微软雅黑"/>
          <w:spacing w:val="-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助限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额内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别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额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、第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-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95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%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第四类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90%比例给予救助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区住院和门诊特殊病医疗救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共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用年度救助限额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普通医疗救助年度限额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15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万元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重特大疾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医疗救助年度限额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30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万元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救助对象医疗费用经基本医保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保险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、普通医疗救助(不设起付线)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报销后的政策范围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内个人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费用达到我区上年城乡</w:t>
      </w:r>
      <w:r>
        <w:rPr>
          <w:rFonts w:ascii="微软雅黑" w:hAnsi="微软雅黑" w:eastAsia="微软雅黑" w:cs="微软雅黑"/>
          <w:spacing w:val="2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居民人均可支配收入</w:t>
      </w:r>
      <w:r>
        <w:rPr>
          <w:rFonts w:ascii="微软雅黑" w:hAnsi="微软雅黑" w:eastAsia="微软雅黑" w:cs="微软雅黑"/>
          <w:spacing w:val="2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5%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以上的</w:t>
      </w:r>
      <w:r>
        <w:rPr>
          <w:rFonts w:ascii="微软雅黑" w:hAnsi="微软雅黑" w:eastAsia="微软雅黑" w:cs="微软雅黑"/>
          <w:spacing w:val="2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2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给予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特大疾病医疗救助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重特大疾病住院救助有病种限制的地(市)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要予以取消并全面过渡到按医疗费用保障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200" w:lineRule="auto"/>
        <w:ind w:left="62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普通门诊救助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1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救助对象在定点医药机构发生政策范围内</w:t>
      </w:r>
    </w:p>
    <w:p>
      <w:pPr>
        <w:sectPr>
          <w:footerReference r:id="rId9" w:type="default"/>
          <w:pgSz w:w="10884" w:h="15193"/>
          <w:pgMar w:top="1175" w:right="731" w:bottom="904" w:left="1044" w:header="0" w:footer="532" w:gutter="0"/>
          <w:cols w:space="720" w:num="1"/>
        </w:sectPr>
      </w:pPr>
    </w:p>
    <w:p>
      <w:pPr>
        <w:spacing w:before="66" w:line="273" w:lineRule="auto"/>
        <w:ind w:left="11" w:firstLine="2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普通门诊治疗费用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,经基本医保门诊统筹制度报销后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,按第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类全额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第三类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95%</w:t>
      </w:r>
      <w:r>
        <w:rPr>
          <w:rFonts w:ascii="微软雅黑" w:hAnsi="微软雅黑" w:eastAsia="微软雅黑" w:cs="微软雅黑"/>
          <w:spacing w:val="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第四类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90%比例给予救助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年度最高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助限额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500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元</w:t>
      </w:r>
      <w:r>
        <w:rPr>
          <w:rFonts w:ascii="微软雅黑" w:hAnsi="微软雅黑" w:eastAsia="微软雅黑" w:cs="微软雅黑"/>
          <w:spacing w:val="6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5" w:line="281" w:lineRule="auto"/>
        <w:ind w:firstLine="63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3.</w:t>
      </w:r>
      <w:r>
        <w:rPr>
          <w:rFonts w:ascii="微软雅黑" w:hAnsi="微软雅黑" w:eastAsia="微软雅黑" w:cs="微软雅黑"/>
          <w:spacing w:val="2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医保局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财政厅根据经济社会发展水平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人民健康需求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疗救助基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金支撑能力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合理调整我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待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遇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平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-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、财政厅)</w:t>
      </w:r>
    </w:p>
    <w:p>
      <w:pPr>
        <w:spacing w:before="1" w:line="179" w:lineRule="auto"/>
        <w:ind w:left="63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健全防范化解因病返贫致贫长效机制</w:t>
      </w:r>
    </w:p>
    <w:p>
      <w:pPr>
        <w:spacing w:before="201" w:line="283" w:lineRule="auto"/>
        <w:ind w:left="2" w:firstLine="65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六)强化高额医疗费用支出预警监测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完善规范医保部门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返贫和因病致贫监测系统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分类细化落实因病返贫和因病致贫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双预警监测标准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对脱贫人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中个人年度累计负担的医疗费用超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过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本地(市)上年农村居民人均可支配收入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50%的</w:t>
      </w:r>
      <w:r>
        <w:rPr>
          <w:rFonts w:ascii="微软雅黑" w:hAnsi="微软雅黑" w:eastAsia="微软雅黑" w:cs="微软雅黑"/>
          <w:spacing w:val="19"/>
          <w:position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纳入医保部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病返贫监测预警范围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;对城乡居民中个人年度累计负担的医疗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费用超过我区上年城乡居民人均可支配收入的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纳入医保部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病致贫监测预警范围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地(市)和县(区)医保部门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因病返贫和致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监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预警数据要在每月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spacing w:val="1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前以部门文件抄送同级民政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村振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兴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部门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,供相关部门核查比对和身份认定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医保部门对民政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振兴等部门每月动态确认的对象按规定及时纳入或退出医疗救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保障范围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协同做好风险研判和帮扶工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村振兴局</w:t>
      </w:r>
      <w:r>
        <w:rPr>
          <w:rFonts w:ascii="微软雅黑" w:hAnsi="微软雅黑" w:eastAsia="微软雅黑" w:cs="微软雅黑"/>
          <w:spacing w:val="2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〕</w:t>
      </w:r>
    </w:p>
    <w:p>
      <w:pPr>
        <w:spacing w:before="2" w:line="292" w:lineRule="auto"/>
        <w:ind w:lef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七)规范畅通依申请救助机制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各地(市)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、县(区)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要不断规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范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和畅通依申请救助机制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增强救助时效性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、精准性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将第五类救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助对象因病致贫重病患者全面纳入依申请救助范围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ectPr>
          <w:footerReference r:id="rId10" w:type="default"/>
          <w:pgSz w:w="10884" w:h="15193"/>
          <w:pgMar w:top="1147" w:right="1029" w:bottom="904" w:left="1037" w:header="0" w:footer="532" w:gutter="0"/>
          <w:cols w:space="720" w:num="1"/>
        </w:sectPr>
      </w:pPr>
    </w:p>
    <w:p>
      <w:pPr>
        <w:spacing w:before="68" w:line="277" w:lineRule="auto"/>
        <w:ind w:left="15" w:firstLine="62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救助条件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参保患者医疗费用经基本医保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大病保险支付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后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负担达到或超过其家庭上年收入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40%的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因病致贫重病患者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民家庭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经济状况的核对工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作按《西藏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申请救助居民家庭经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济状况核对办法》执行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2" w:line="271" w:lineRule="auto"/>
        <w:ind w:left="6" w:firstLine="62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9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.</w:t>
      </w:r>
      <w:r>
        <w:rPr>
          <w:rFonts w:ascii="微软雅黑" w:hAnsi="微软雅黑" w:eastAsia="微软雅黑" w:cs="微软雅黑"/>
          <w:spacing w:val="8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救助标准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position w:val="1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因病致贫重病患者计入救助范围的医疗费用为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认定之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前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24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个月内在定点医疗机构产生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position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按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0%比例在年度救助限额内予以救助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before="7" w:line="280" w:lineRule="auto"/>
        <w:ind w:left="8" w:firstLine="62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0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3.</w:t>
      </w:r>
      <w:r>
        <w:rPr>
          <w:rFonts w:ascii="微软雅黑" w:hAnsi="微软雅黑" w:eastAsia="微软雅黑" w:cs="微软雅黑"/>
          <w:spacing w:val="-10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程序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依申请医疗救助的具体申请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审核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结算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给付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程序由各地(市)医保部门会同相关部门结合实际细化明确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销方式由县(区)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医保部门按规定程序审批后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给予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次性医疗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待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遇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,各地(市)行署(人民政府)〕</w:t>
      </w:r>
    </w:p>
    <w:p>
      <w:pPr>
        <w:spacing w:before="9" w:line="286" w:lineRule="auto"/>
        <w:ind w:firstLine="65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八)坚决防止因病返贫致贫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我区参保患者医疗费用经直接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助或依申请救助后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政策范围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内个人负担医疗费用负担仍较重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,及时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启动防止因病致贫返贫“一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议”工作机制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由参保地县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(区)人民政府组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织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、卫生健康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、乡村振兴等部门召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开医疗救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专题会议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,按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事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议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、专题研究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、限时解决原则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不受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年度救助限额和待遇类型限制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根据救助对象困难程度给予医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防止因病返贫致贫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同时避免过度保障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署(人民政府)〕</w:t>
      </w:r>
    </w:p>
    <w:p>
      <w:pPr>
        <w:spacing w:line="181" w:lineRule="auto"/>
        <w:ind w:left="63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七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鼓励社会力量参与救助保</w:t>
      </w:r>
      <w:r>
        <w:rPr>
          <w:rFonts w:ascii="黑体" w:hAnsi="黑体" w:eastAsia="黑体" w:cs="黑体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障</w:t>
      </w:r>
    </w:p>
    <w:p>
      <w:pPr>
        <w:spacing w:before="201" w:line="296" w:lineRule="auto"/>
        <w:ind w:left="18" w:firstLine="63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九)积极发展慈善救助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鼓励慈善组织和其他社会组织募集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慈善救助资金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,设立大病救助项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积极参与重特大疾病医疗</w:t>
      </w:r>
    </w:p>
    <w:p>
      <w:pPr>
        <w:sectPr>
          <w:footerReference r:id="rId11" w:type="default"/>
          <w:pgSz w:w="10884" w:h="15193"/>
          <w:pgMar w:top="1147" w:right="1029" w:bottom="904" w:left="1037" w:header="0" w:footer="528" w:gutter="0"/>
          <w:cols w:space="720" w:num="1"/>
        </w:sectPr>
      </w:pPr>
    </w:p>
    <w:p>
      <w:pPr>
        <w:spacing w:before="61" w:line="286" w:lineRule="auto"/>
        <w:ind w:right="111" w:firstLine="1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,发挥对医保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录范围外费用的补充救助作用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促进互联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公开募捐信息平台发展和平台间慈善资源共享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规范互联网个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大病求助平台信息发布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推行阳光救助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支持医疗救助领域社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作和志愿服务发展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丰富救助服务内容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根据经济社会发展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平和各方承受能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,整合医疗保障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、社会救助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、慈善帮扶等资源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施综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合救助保障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汇集社会力量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,共同关爱和帮扶困难患者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建立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慈善参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激励机制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落实相应税收优惠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、费用减免等政策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(民政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厅</w:t>
      </w:r>
      <w:r>
        <w:rPr>
          <w:rFonts w:ascii="微软雅黑" w:hAnsi="微软雅黑" w:eastAsia="微软雅黑" w:cs="微软雅黑"/>
          <w:spacing w:val="-2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-2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、税务局)</w:t>
      </w:r>
    </w:p>
    <w:p>
      <w:pPr>
        <w:spacing w:before="10" w:line="286" w:lineRule="auto"/>
        <w:ind w:left="1" w:firstLine="65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十)统筹发展医疗互助和商业健康保险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支持工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会组织开展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职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工医疗互助保障活动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加强医疗互助与医疗保障衔接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支持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健康保险发展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丰富健康保险产品供给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引导和支持商业保险机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构探索实施满足基本医疗保障以外的惠民型商业健康保险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层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次医疗保障体系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用足用好商业健康保险个人所得税政策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鼓励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业保险机构加强产品创新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在产品定价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、赔付条件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、保障范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围等方面对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难群众适当倾斜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(总工会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、银保监局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-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</w:t>
      </w:r>
    </w:p>
    <w:p>
      <w:pPr>
        <w:spacing w:before="1" w:line="180" w:lineRule="auto"/>
        <w:ind w:left="6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八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完善经办管理服</w:t>
      </w:r>
      <w:r>
        <w:rPr>
          <w:rFonts w:ascii="黑体" w:hAnsi="黑体" w:eastAsia="黑体" w:cs="黑体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</w:t>
      </w:r>
    </w:p>
    <w:p>
      <w:pPr>
        <w:spacing w:before="207" w:line="289" w:lineRule="auto"/>
        <w:ind w:left="5" w:firstLine="64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十一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)加快推进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体化经办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细化完善救助服务事项清单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定出台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医疗救助经办管理服务规程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落实救助对象信息共享互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、资助参保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、待遇给付等经办服务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,依法依规加强数据归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助对象医疗费用依托全国统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的医疗保障信息平台实行基本医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4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-3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、大病保险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、医疗救助“一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站式”服务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、“一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窗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口”办理</w:t>
      </w:r>
      <w:r>
        <w:rPr>
          <w:rFonts w:ascii="微软雅黑" w:hAnsi="微软雅黑" w:eastAsia="微软雅黑" w:cs="微软雅黑"/>
          <w:spacing w:val="-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,提高结算服</w:t>
      </w:r>
    </w:p>
    <w:p>
      <w:pPr>
        <w:sectPr>
          <w:footerReference r:id="rId12" w:type="default"/>
          <w:pgSz w:w="10884" w:h="15193"/>
          <w:pgMar w:top="1147" w:right="918" w:bottom="907" w:left="1036" w:header="0" w:footer="532" w:gutter="0"/>
          <w:cols w:space="720" w:num="1"/>
        </w:sectPr>
      </w:pPr>
    </w:p>
    <w:p>
      <w:pPr>
        <w:spacing w:before="65" w:line="286" w:lineRule="auto"/>
        <w:ind w:firstLine="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务便利性,确保符合条件的困难群众能及时得到医疗救助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协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议管理,夯实定点医疗机构费用管控主体责任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基金监管,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做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好费用监控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、稽查审核,保持打击欺诈骗保高压态势,对产生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疗救助结算的定点医疗机构实行重点监控,确保基金安全高效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理使用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(医保局)</w:t>
      </w:r>
    </w:p>
    <w:p>
      <w:pPr>
        <w:spacing w:before="12" w:line="285" w:lineRule="auto"/>
        <w:ind w:left="3" w:right="8" w:firstLine="64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十二)优化救助申请审核程序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各级医保经办机构要简化申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请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、审核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、救助资金给付流程,对救助对象进行系统标识和即时结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算,实行动态调整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加强部门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间工作协同,全面对接社会救助经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服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务,各地(市)在制定依申请医疗救助规程中,要按照部门分工</w:t>
      </w:r>
      <w:r>
        <w:rPr>
          <w:rFonts w:ascii="微软雅黑" w:hAnsi="微软雅黑" w:eastAsia="微软雅黑" w:cs="微软雅黑"/>
          <w:spacing w:val="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镇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、街道)职责做好困难群众医疗救助申请受理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、办理时限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、分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转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办及结果反馈等工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动员基层干部,依托基层医疗卫生机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构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,做好政策宣传和救助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申请委托代办等,及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帮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助困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群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众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局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、卫生健康委,各地(市)行署(人民政府)〕</w:t>
      </w:r>
    </w:p>
    <w:p>
      <w:pPr>
        <w:spacing w:line="288" w:lineRule="auto"/>
        <w:ind w:left="1" w:right="8" w:firstLine="646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十三)提高综合服务管理水平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积极引导救助对象到基层医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卫生机构首诊,规范转诊,促进分级诊疗和合理有序就医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象异地安置或按规定异地转诊并在定点医疗机构就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的,住院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起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付线连续计算,跨统筹区就医报销比例不降低,执行参保统筹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同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等待遇政策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完善定点医疗机构医疗救助服务内容,提高服务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质量,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经基层首诊转诊的特困人员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、低保对象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、孤儿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、防止返贫致贫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监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测对象在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内定点医疗机构住院,实行“先诊疗后付费”,全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面免</w:t>
      </w:r>
      <w:r>
        <w:rPr>
          <w:rFonts w:ascii="微软雅黑" w:hAnsi="微软雅黑" w:eastAsia="微软雅黑" w:cs="微软雅黑"/>
          <w:spacing w:val="-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除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住院押金,按规定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做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费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用结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算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着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安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有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效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、经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济</w:t>
      </w:r>
      <w:r>
        <w:rPr>
          <w:rFonts w:ascii="微软雅黑" w:hAnsi="微软雅黑" w:eastAsia="微软雅黑" w:cs="微软雅黑"/>
          <w:spacing w:val="-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宜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、救助基本的原则,引导医疗救助对象和定点医疗机构优先选择</w:t>
      </w:r>
    </w:p>
    <w:p>
      <w:pPr>
        <w:sectPr>
          <w:footerReference r:id="rId13" w:type="default"/>
          <w:pgSz w:w="10884" w:h="15193"/>
          <w:pgMar w:top="1147" w:right="1021" w:bottom="901" w:left="1043" w:header="0" w:footer="532" w:gutter="0"/>
          <w:cols w:space="720" w:num="1"/>
        </w:sectPr>
      </w:pPr>
    </w:p>
    <w:p>
      <w:pPr>
        <w:spacing w:before="66" w:line="290" w:lineRule="auto"/>
        <w:ind w:left="3" w:right="111" w:firstLine="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纳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入基本医保支付范围的药品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、医用耗材和医疗服务项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,严控不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合理费用支出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(卫生健康委</w:t>
      </w:r>
      <w:r>
        <w:rPr>
          <w:rFonts w:ascii="微软雅黑" w:hAnsi="微软雅黑" w:eastAsia="微软雅黑" w:cs="微软雅黑"/>
          <w:spacing w:val="-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、医保局)</w:t>
      </w:r>
    </w:p>
    <w:p>
      <w:pPr>
        <w:spacing w:before="1" w:line="178" w:lineRule="auto"/>
        <w:ind w:left="62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九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</w:t>
      </w:r>
      <w:r>
        <w:rPr>
          <w:rFonts w:ascii="黑体" w:hAnsi="黑体" w:eastAsia="黑体" w:cs="黑体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组织保障</w:t>
      </w:r>
    </w:p>
    <w:p>
      <w:pPr>
        <w:spacing w:before="200" w:line="286" w:lineRule="auto"/>
        <w:ind w:left="1" w:right="111" w:firstLine="646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(十四)强化组织领导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各地要落实主体责任,进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步健全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善党委领导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、政府主导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、部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门协同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、社会参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与的重特大疾病保障工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机制,将困难群众重特大疾病医疗救助托底保障政策落实情况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为加强和改善民生工作的重要指标,纳入医疗救助工</w:t>
      </w:r>
      <w:r>
        <w:rPr>
          <w:rFonts w:ascii="微软雅黑" w:hAnsi="微软雅黑" w:eastAsia="微软雅黑" w:cs="微软雅黑"/>
          <w:spacing w:val="2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作绩效评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价,确保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政策落地见效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、制度可持续发展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、群众得到实惠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各地要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立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高效的议事协调工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作机制,妥善处理医疗救助政策难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以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解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决的个案问题,避免发生社会负面影响事件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。〔各地(市)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rFonts w:ascii="微软雅黑" w:hAnsi="微软雅黑" w:eastAsia="微软雅黑" w:cs="微软雅黑"/>
          <w:spacing w:val="2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人民政府)〕</w:t>
      </w:r>
    </w:p>
    <w:p>
      <w:pPr>
        <w:spacing w:before="8" w:line="287" w:lineRule="auto"/>
        <w:ind w:firstLine="64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(十五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)凝聚工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作合力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加强部门协同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,合力推进工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部门要统筹推进医疗保险</w:t>
      </w:r>
      <w:r>
        <w:rPr>
          <w:rFonts w:ascii="微软雅黑" w:hAnsi="微软雅黑" w:eastAsia="微软雅黑" w:cs="微软雅黑"/>
          <w:spacing w:val="1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、医疗救助制度改革和管理工作,落实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好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策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 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民政部门要做好特困人员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、孤儿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、低保对象</w:t>
      </w:r>
      <w:r>
        <w:rPr>
          <w:rFonts w:ascii="微软雅黑" w:hAnsi="微软雅黑" w:eastAsia="微软雅黑" w:cs="微软雅黑"/>
          <w:spacing w:val="-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、低保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边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缘对象的认定和信息共享工</w:t>
      </w:r>
      <w:r>
        <w:rPr>
          <w:rFonts w:ascii="微软雅黑" w:hAnsi="微软雅黑" w:eastAsia="微软雅黑" w:cs="微软雅黑"/>
          <w:spacing w:val="2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作,做好因病致贫重病患者核对,支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持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发展慈善救助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财政部门要按规定做好资金支持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卫生健康部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门要强化对医疗机构的行业管理,规范诊疗路径,促进分级诊疗</w:t>
      </w:r>
      <w:r>
        <w:rPr>
          <w:rFonts w:ascii="微软雅黑" w:hAnsi="微软雅黑" w:eastAsia="微软雅黑" w:cs="微软雅黑"/>
          <w:spacing w:val="2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税务部门要做好基本医保保费征缴相关工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银保监部门要加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对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商业保险机构承办大病保险的行业监管,规范商业健康保险发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展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乡村振兴部门要做好易返贫致贫人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和返贫致贫人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口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的监测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管理和信息共享工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工</w:t>
      </w:r>
      <w:r>
        <w:rPr>
          <w:rFonts w:ascii="微软雅黑" w:hAnsi="微软雅黑" w:eastAsia="微软雅黑" w:cs="微软雅黑"/>
          <w:spacing w:val="8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会部门要做好职工医疗互助和罹患大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病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困难职工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帮扶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困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难职工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认定和信息共享工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残联部门要做好</w:t>
      </w:r>
    </w:p>
    <w:p>
      <w:pPr>
        <w:sectPr>
          <w:footerReference r:id="rId14" w:type="default"/>
          <w:pgSz w:w="10884" w:h="15193"/>
          <w:pgMar w:top="1147" w:right="918" w:bottom="908" w:left="1043" w:header="0" w:footer="532" w:gutter="0"/>
          <w:cols w:space="720" w:num="1"/>
        </w:sectPr>
      </w:pPr>
    </w:p>
    <w:p>
      <w:pPr>
        <w:spacing w:before="65" w:line="286" w:lineRule="auto"/>
        <w:ind w:right="8" w:firstLine="1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重度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残疾人认定和信息共享工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、财政厅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、卫生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1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健康委</w:t>
      </w:r>
      <w:r>
        <w:rPr>
          <w:rFonts w:ascii="微软雅黑" w:hAnsi="微软雅黑" w:eastAsia="微软雅黑" w:cs="微软雅黑"/>
          <w:spacing w:val="-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、税务局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、银保监局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、乡村振兴局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、总工会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、残联</w:t>
      </w:r>
      <w:r>
        <w:rPr>
          <w:rFonts w:ascii="微软雅黑" w:hAnsi="微软雅黑" w:eastAsia="微软雅黑" w:cs="微软雅黑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,各地(市)行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(人民政府)〕</w:t>
      </w:r>
    </w:p>
    <w:p>
      <w:pPr>
        <w:spacing w:before="12" w:line="285" w:lineRule="auto"/>
        <w:ind w:left="8" w:firstLine="645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十六)加强基金预算管理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建立全区统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的医疗救助基金管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理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制度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2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积极推进医疗救助统筹层次与基本医疗保险统筹层次相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,提高救助资金使用效率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强化医疗救助基金预算管理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落实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医疗救助投入保障责任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强化地(市)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、县(区)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两级财政事权责任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规范医疗救助基金财政专户和支出专户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专款专用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确保医疗救助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基金安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全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运行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拓宽筹资渠道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动员社会力量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通过慈善和社会捐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等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多渠道筹集资金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统筹医疗救助资金使用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加强预算执行监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督</w:t>
      </w:r>
      <w:r>
        <w:rPr>
          <w:rFonts w:ascii="微软雅黑" w:hAnsi="微软雅黑" w:eastAsia="微软雅黑" w:cs="微软雅黑"/>
          <w:spacing w:val="-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,全</w:t>
      </w:r>
      <w:r>
        <w:rPr>
          <w:rFonts w:ascii="微软雅黑" w:hAnsi="微软雅黑" w:eastAsia="微软雅黑" w:cs="微软雅黑"/>
          <w:spacing w:val="-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面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实施预算绩效管理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(财政厅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、民政厅)</w:t>
      </w:r>
    </w:p>
    <w:p>
      <w:pPr>
        <w:spacing w:before="12" w:line="285" w:lineRule="auto"/>
        <w:ind w:left="4" w:firstLine="64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十七)强化基层能力建设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加强医疗保障公共管理服务能力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配置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补齐基层医疗保障经办服务队伍短板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政府合理安排资金</w:t>
      </w:r>
      <w:r>
        <w:rPr>
          <w:rFonts w:ascii="微软雅黑" w:hAnsi="微软雅黑" w:eastAsia="微软雅黑" w:cs="微软雅黑"/>
          <w:spacing w:val="1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证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医疗保障公共服务机构正常运行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推进医保治理创新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大力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推进</w:t>
      </w:r>
      <w:r>
        <w:rPr>
          <w:rFonts w:ascii="微软雅黑" w:hAnsi="微软雅黑" w:eastAsia="微软雅黑" w:cs="微软雅黑"/>
          <w:spacing w:val="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疗救助经办服务下沉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乡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(镇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、街道)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要配备专人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实现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、地(市)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、县(区)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、乡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(镇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、街道)经办服务全覆盖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7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-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积极引入社</w:t>
      </w:r>
      <w:r>
        <w:rPr>
          <w:rFonts w:ascii="微软雅黑" w:hAnsi="微软雅黑" w:eastAsia="微软雅黑" w:cs="微软雅黑"/>
          <w:spacing w:val="-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8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力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量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参与经办服务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重点提升信息化和经办服务水平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4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加强医疗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救助政策</w:t>
      </w:r>
      <w:r>
        <w:rPr>
          <w:rFonts w:ascii="微软雅黑" w:hAnsi="微软雅黑" w:eastAsia="微软雅黑" w:cs="微软雅黑"/>
          <w:spacing w:val="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和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业务能力培训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努力打造综合素质高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、工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作作风好</w:t>
      </w:r>
      <w:r>
        <w:rPr>
          <w:rFonts w:ascii="微软雅黑" w:hAnsi="微软雅黑" w:eastAsia="微软雅黑" w:cs="微软雅黑"/>
          <w:spacing w:val="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、业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务能力强的基层经办队伍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。〔各地(市)行署(人民政府)</w:t>
      </w:r>
      <w:r>
        <w:rPr>
          <w:rFonts w:ascii="微软雅黑" w:hAnsi="微软雅黑" w:eastAsia="微软雅黑" w:cs="微软雅黑"/>
          <w:spacing w:val="1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、医保局</w:t>
      </w:r>
      <w:r>
        <w:rPr>
          <w:rFonts w:ascii="微软雅黑" w:hAnsi="微软雅黑" w:eastAsia="微软雅黑" w:cs="微软雅黑"/>
          <w:spacing w:val="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〕</w:t>
      </w:r>
    </w:p>
    <w:p>
      <w:pPr>
        <w:spacing w:before="4" w:line="291" w:lineRule="auto"/>
        <w:ind w:left="9" w:firstLine="64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十八)做好宣传引导工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各地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、各部门要主动做好重特大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4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疗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保险和救助制度的政策解读和服务宣传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,及时回应社会关切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合理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引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导预期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充分宣传对减轻参保人员医疗费用负担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、促进制</w:t>
      </w:r>
    </w:p>
    <w:p>
      <w:pPr>
        <w:sectPr>
          <w:footerReference r:id="rId15" w:type="default"/>
          <w:pgSz w:w="10884" w:h="15193"/>
          <w:pgMar w:top="1147" w:right="1021" w:bottom="908" w:left="1037" w:header="0" w:footer="528" w:gutter="0"/>
          <w:cols w:space="720" w:num="1"/>
        </w:sectPr>
      </w:pPr>
    </w:p>
    <w:p>
      <w:pPr>
        <w:spacing w:before="69" w:line="286" w:lineRule="auto"/>
        <w:ind w:left="9" w:right="67" w:firstLine="5"/>
        <w:rPr>
          <w:rFonts w:ascii="微软雅黑" w:hAnsi="微软雅黑" w:eastAsia="微软雅黑" w:cs="微软雅黑"/>
          <w:sz w:val="29"/>
          <w:szCs w:val="2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4295140</wp:posOffset>
            </wp:positionH>
            <wp:positionV relativeFrom="page">
              <wp:posOffset>8908415</wp:posOffset>
            </wp:positionV>
            <wp:extent cx="1788160" cy="3956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8134" cy="3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3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度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更加公平更可持续的重要作用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要建立舆情监测和处置机制,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积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极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主动回应社会关切,营造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良好舆论氛围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。〔医保局</w:t>
      </w:r>
      <w:r>
        <w:rPr>
          <w:rFonts w:ascii="微软雅黑" w:hAnsi="微软雅黑" w:eastAsia="微软雅黑" w:cs="微软雅黑"/>
          <w:spacing w:val="1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、各地(市)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行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署(人民政府)〕</w:t>
      </w:r>
    </w:p>
    <w:p>
      <w:pPr>
        <w:spacing w:before="8" w:line="277" w:lineRule="auto"/>
        <w:ind w:left="21" w:firstLine="642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(十九)实施时间和政策衔接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15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本实施意见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2022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8</w:t>
      </w:r>
      <w:r>
        <w:rPr>
          <w:rFonts w:ascii="微软雅黑" w:hAnsi="微软雅黑" w:eastAsia="微软雅黑" w:cs="微软雅黑"/>
          <w:spacing w:val="15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ascii="微软雅黑" w:hAnsi="微软雅黑" w:eastAsia="微软雅黑" w:cs="微软雅黑"/>
          <w:spacing w:val="15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1</w:t>
      </w:r>
      <w:r>
        <w:rPr>
          <w:rFonts w:ascii="微软雅黑" w:hAnsi="微软雅黑" w:eastAsia="微软雅黑" w:cs="微软雅黑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起施行,有效期</w:t>
      </w:r>
      <w:r>
        <w:rPr>
          <w:rFonts w:ascii="微软雅黑" w:hAnsi="微软雅黑" w:eastAsia="微软雅黑" w:cs="微软雅黑"/>
          <w:spacing w:val="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position w:val="-3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,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由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医疗保障局负责解释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。《西藏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自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0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治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区人民政府办公厅转发民政厅等部门关于进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步完善城乡医疗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3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救</w:t>
      </w:r>
      <w:r>
        <w:rPr>
          <w:rFonts w:ascii="微软雅黑" w:hAnsi="微软雅黑" w:eastAsia="微软雅黑" w:cs="微软雅黑"/>
          <w:spacing w:val="2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助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制度全面开展重特大疾病医疗救助工</w:t>
      </w:r>
      <w:r>
        <w:rPr>
          <w:rFonts w:ascii="微软雅黑" w:hAnsi="微软雅黑" w:eastAsia="微软雅黑" w:cs="微软雅黑"/>
          <w:spacing w:val="1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6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作实施意见的通知》(藏</w:t>
      </w:r>
    </w:p>
    <w:p>
      <w:pPr>
        <w:spacing w:before="2" w:line="297" w:lineRule="auto"/>
        <w:ind w:left="18" w:right="76" w:firstLine="1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4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政办发〔2016〕37</w:t>
      </w:r>
      <w:r>
        <w:rPr>
          <w:rFonts w:ascii="微软雅黑" w:hAnsi="微软雅黑" w:eastAsia="微软雅黑" w:cs="微软雅黑"/>
          <w:spacing w:val="4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号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)同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时废止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2"/>
          <w:position w:val="1"/>
          <w:sz w:val="29"/>
          <w:szCs w:val="29"/>
        </w:rPr>
        <w:t xml:space="preserve">  </w:t>
      </w:r>
      <w:r>
        <w:rPr>
          <w:rFonts w:ascii="微软雅黑" w:hAnsi="微软雅黑" w:eastAsia="微软雅黑" w:cs="微软雅黑"/>
          <w:spacing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此前发布的我区有关医疗救助规</w:t>
      </w:r>
      <w:r>
        <w:rPr>
          <w:rFonts w:ascii="微软雅黑" w:hAnsi="微软雅黑" w:eastAsia="微软雅黑" w:cs="微软雅黑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23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定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与本实施意见不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致的,以本实施意见为准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4" w:line="205" w:lineRule="auto"/>
        <w:ind w:left="5167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0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6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0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22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7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月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20</w:t>
      </w:r>
      <w:r>
        <w:rPr>
          <w:rFonts w:ascii="微软雅黑" w:hAnsi="微软雅黑" w:eastAsia="微软雅黑" w:cs="微软雅黑"/>
          <w:spacing w:val="5"/>
          <w:position w:val="-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2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日</w:t>
      </w:r>
    </w:p>
    <w:p>
      <w:pPr>
        <w:spacing w:before="99" w:line="200" w:lineRule="auto"/>
        <w:ind w:left="663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7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5"/>
          <w:sz w:val="29"/>
          <w:szCs w:val="29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此件公开发布)</w:t>
      </w:r>
    </w:p>
    <w:p/>
    <w:p/>
    <w:p/>
    <w:p/>
    <w:p/>
    <w:p/>
    <w:p/>
    <w:p/>
    <w:p/>
    <w:p/>
    <w:p>
      <w:pPr>
        <w:spacing w:line="75" w:lineRule="auto"/>
        <w:rPr>
          <w:rFonts w:ascii="Arial"/>
          <w:sz w:val="2"/>
        </w:rPr>
      </w:pPr>
    </w:p>
    <w:tbl>
      <w:tblPr>
        <w:tblStyle w:val="4"/>
        <w:tblW w:w="8828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8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2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53" w:line="161" w:lineRule="auto"/>
              <w:ind w:left="31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2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抄</w:t>
            </w:r>
            <w:r>
              <w:rPr>
                <w:rFonts w:ascii="微软雅黑" w:hAnsi="微软雅黑" w:eastAsia="微软雅黑" w:cs="微软雅黑"/>
                <w:spacing w:val="20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送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区党委各部门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,西藏军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,武警西藏总队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5"/>
                <w:szCs w:val="25"/>
                <w14:textOutline w14:w="2475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spacing w:before="1" w:line="181" w:lineRule="auto"/>
              <w:ind w:left="1029" w:right="300" w:firstLine="1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区人大常委会办公厅,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区政协办公厅,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区监委,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区高法院,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区检察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微软雅黑" w:hAnsi="微软雅黑" w:eastAsia="微软雅黑" w:cs="微软雅黑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sz w:val="25"/>
                <w:szCs w:val="25"/>
                <w14:textOutline w14:w="2506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2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32" w:line="203" w:lineRule="auto"/>
              <w:ind w:left="304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西藏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治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区人民政府办公厅秘书处</w:t>
            </w:r>
            <w:r>
              <w:rPr>
                <w:rFonts w:ascii="微软雅黑" w:hAnsi="微软雅黑" w:eastAsia="微软雅黑" w:cs="微软雅黑"/>
                <w:spacing w:val="-1"/>
                <w:sz w:val="26"/>
                <w:szCs w:val="26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23</w:t>
            </w:r>
            <w:r>
              <w:rPr>
                <w:rFonts w:ascii="微软雅黑" w:hAnsi="微软雅黑" w:eastAsia="微软雅黑" w:cs="微软雅黑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微软雅黑" w:hAnsi="微软雅黑" w:eastAsia="微软雅黑" w:cs="微软雅黑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6"/>
                <w:szCs w:val="26"/>
                <w14:textOutline w14:w="2540" w14:cap="rnd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印发</w:t>
            </w:r>
          </w:p>
        </w:tc>
      </w:tr>
    </w:tbl>
    <w:p>
      <w:pPr>
        <w:spacing w:line="328" w:lineRule="auto"/>
        <w:rPr>
          <w:rFonts w:ascii="Arial"/>
          <w:sz w:val="21"/>
        </w:rPr>
      </w:pPr>
    </w:p>
    <w:p>
      <w:pPr>
        <w:spacing w:before="124" w:line="164" w:lineRule="auto"/>
        <w:ind w:left="14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2"/>
          <w:position w:val="4"/>
          <w:sz w:val="29"/>
          <w:szCs w:val="29"/>
        </w:rPr>
        <w:t xml:space="preserve">—   </w:t>
      </w:r>
      <w:r>
        <w:rPr>
          <w:rFonts w:ascii="微软雅黑" w:hAnsi="微软雅黑" w:eastAsia="微软雅黑" w:cs="微软雅黑"/>
          <w:spacing w:val="2"/>
          <w:sz w:val="29"/>
          <w:szCs w:val="29"/>
        </w:rPr>
        <w:t xml:space="preserve">12  </w:t>
      </w:r>
      <w:r>
        <w:rPr>
          <w:rFonts w:ascii="微软雅黑" w:hAnsi="微软雅黑" w:eastAsia="微软雅黑" w:cs="微软雅黑"/>
          <w:spacing w:val="1"/>
          <w:position w:val="4"/>
          <w:sz w:val="29"/>
          <w:szCs w:val="29"/>
        </w:rPr>
        <w:t>—</w:t>
      </w:r>
    </w:p>
    <w:sectPr>
      <w:footerReference r:id="rId16" w:type="default"/>
      <w:pgSz w:w="10884" w:h="15193"/>
      <w:pgMar w:top="1147" w:right="953" w:bottom="400" w:left="10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3" w:lineRule="auto"/>
      <w:ind w:right="148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1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2" w:lineRule="auto"/>
      <w:ind w:left="133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2"/>
        <w:position w:val="4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2"/>
        <w:sz w:val="29"/>
        <w:szCs w:val="29"/>
      </w:rPr>
      <w:t xml:space="preserve">10  </w:t>
    </w:r>
    <w:r>
      <w:rPr>
        <w:rFonts w:ascii="微软雅黑" w:hAnsi="微软雅黑" w:eastAsia="微软雅黑" w:cs="微软雅黑"/>
        <w:spacing w:val="1"/>
        <w:position w:val="4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21"/>
      <w:rPr>
        <w:rFonts w:ascii="微软雅黑" w:hAnsi="微软雅黑" w:eastAsia="微软雅黑" w:cs="微软雅黑"/>
        <w:sz w:val="29"/>
        <w:szCs w:val="29"/>
      </w:rPr>
    </w:pPr>
    <w:r>
      <w:pict>
        <v:shape id="_x0000_s2053" o:spid="_x0000_s2053" o:spt="202" type="#_x0000_t202" style="position:absolute;left:0pt;margin-left:361.7pt;margin-top:4.05pt;height:10.1pt;width:16.75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416.7pt;margin-top:4.05pt;height:10.1pt;width:16.7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pacing w:val="13"/>
        <w:sz w:val="29"/>
        <w:szCs w:val="29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3" w:lineRule="auto"/>
      <w:ind w:left="134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2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8" w:lineRule="auto"/>
      <w:ind w:right="157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3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2" w:lineRule="auto"/>
      <w:ind w:left="139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4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right="446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5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left="139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6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75"/>
      <w:rPr>
        <w:rFonts w:ascii="微软雅黑" w:hAnsi="微软雅黑" w:eastAsia="微软雅黑" w:cs="微软雅黑"/>
        <w:sz w:val="29"/>
        <w:szCs w:val="29"/>
      </w:rPr>
    </w:pPr>
    <w:r>
      <w:pict>
        <v:shape id="_x0000_s2049" o:spid="_x0000_s2049" o:spt="202" type="#_x0000_t202" style="position:absolute;left:0pt;margin-left:369.55pt;margin-top:3.9pt;height:10.1pt;width:16.7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416.7pt;margin-top:3.9pt;height:10.1pt;width:16.7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pacing w:val="32"/>
        <w:sz w:val="29"/>
        <w:szCs w:val="29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01"/>
      <w:rPr>
        <w:rFonts w:ascii="微软雅黑" w:hAnsi="微软雅黑" w:eastAsia="微软雅黑" w:cs="微软雅黑"/>
        <w:sz w:val="29"/>
        <w:szCs w:val="29"/>
      </w:rPr>
    </w:pPr>
    <w:r>
      <w:pict>
        <v:shape id="_x0000_s2051" o:spid="_x0000_s2051" o:spt="202" type="#_x0000_t202" style="position:absolute;left:0pt;margin-left:6pt;margin-top:4.05pt;height:10.1pt;width:16.7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53.15pt;margin-top:4.05pt;height:10.1pt;width:16.7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61" w:lineRule="exact"/>
                  <w:ind w:left="20"/>
                  <w:rPr>
                    <w:rFonts w:ascii="微软雅黑" w:hAnsi="微软雅黑" w:eastAsia="微软雅黑" w:cs="微软雅黑"/>
                    <w:sz w:val="9"/>
                    <w:szCs w:val="9"/>
                  </w:rPr>
                </w:pPr>
                <w:r>
                  <w:rPr>
                    <w:rFonts w:ascii="微软雅黑" w:hAnsi="微软雅黑" w:eastAsia="微软雅黑" w:cs="微软雅黑"/>
                    <w:spacing w:val="197"/>
                    <w:position w:val="2"/>
                    <w:sz w:val="9"/>
                    <w:szCs w:val="9"/>
                  </w:rPr>
                  <w:t>—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pacing w:val="35"/>
        <w:sz w:val="29"/>
        <w:szCs w:val="29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9" w:lineRule="auto"/>
      <w:ind w:right="157"/>
      <w:jc w:val="right"/>
      <w:rPr>
        <w:rFonts w:ascii="微软雅黑" w:hAnsi="微软雅黑" w:eastAsia="微软雅黑" w:cs="微软雅黑"/>
        <w:sz w:val="29"/>
        <w:szCs w:val="29"/>
      </w:rPr>
    </w:pPr>
    <w:r>
      <w:rPr>
        <w:rFonts w:ascii="微软雅黑" w:hAnsi="微软雅黑" w:eastAsia="微软雅黑" w:cs="微软雅黑"/>
        <w:spacing w:val="4"/>
        <w:position w:val="3"/>
        <w:sz w:val="29"/>
        <w:szCs w:val="29"/>
      </w:rPr>
      <w:t xml:space="preserve">—   </w:t>
    </w:r>
    <w:r>
      <w:rPr>
        <w:rFonts w:ascii="微软雅黑" w:hAnsi="微软雅黑" w:eastAsia="微软雅黑" w:cs="微软雅黑"/>
        <w:spacing w:val="4"/>
        <w:position w:val="-1"/>
        <w:sz w:val="29"/>
        <w:szCs w:val="29"/>
      </w:rPr>
      <w:t xml:space="preserve">9  </w:t>
    </w:r>
    <w:r>
      <w:rPr>
        <w:rFonts w:ascii="微软雅黑" w:hAnsi="微软雅黑" w:eastAsia="微软雅黑" w:cs="微软雅黑"/>
        <w:spacing w:val="2"/>
        <w:position w:val="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2F10A2"/>
    <w:rsid w:val="508A6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2022-11-30T16:03:00Z</dcterms:created>
  <dc:creator>作者</dc:creator>
  <cp:keywords>关键字</cp:keywords>
  <cp:lastModifiedBy>出发</cp:lastModifiedBy>
  <dcterms:modified xsi:type="dcterms:W3CDTF">2024-05-24T06:34:02Z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2022-11-30T17:37:17Z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46BAC576A7DA4C62AFDA37741AF5D04A_13</vt:lpwstr>
  </property>
</Properties>
</file>