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附件1</w:t>
      </w:r>
    </w:p>
    <w:p>
      <w:pPr>
        <w:jc w:val="center"/>
        <w:rPr>
          <w:rFonts w:hint="eastAsia" w:ascii="文星标宋" w:hAnsi="文星标宋" w:eastAsia="文星标宋"/>
          <w:bCs/>
          <w:sz w:val="36"/>
        </w:rPr>
      </w:pPr>
      <w:bookmarkStart w:id="0" w:name="_GoBack"/>
      <w:r>
        <w:rPr>
          <w:rFonts w:hint="eastAsia" w:ascii="文星标宋" w:hAnsi="文星标宋" w:eastAsia="文星标宋"/>
          <w:bCs/>
          <w:sz w:val="36"/>
        </w:rPr>
        <w:t>首付比例由10%调整为零的7种乙类药品</w:t>
      </w:r>
    </w:p>
    <w:bookmarkEnd w:id="0"/>
    <w:p>
      <w:pPr>
        <w:rPr>
          <w:rFonts w:hint="eastAsia" w:ascii="仿宋_GB2312" w:eastAsia="仿宋_GB2312"/>
          <w:sz w:val="24"/>
        </w:rPr>
      </w:pPr>
    </w:p>
    <w:tbl>
      <w:tblPr>
        <w:tblStyle w:val="3"/>
        <w:tblW w:w="8595" w:type="dxa"/>
        <w:tblInd w:w="3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4260"/>
        <w:gridCol w:w="1145"/>
        <w:gridCol w:w="1150"/>
        <w:gridCol w:w="13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4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药品名称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首付比例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调整后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首付比例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剂型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24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头孢呋辛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10%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口服常释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24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头孢呋辛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10%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39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头孢曲松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10%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703</w:t>
            </w:r>
          </w:p>
        </w:tc>
        <w:tc>
          <w:tcPr>
            <w:tcW w:w="4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还原型谷胱甘肽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10%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713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复方甘草酸单铵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10%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908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[重组]人粒细胞集落刺激因子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10%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909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[重组]人粒细胞巨噬细胞集落刺激因子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10%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75FF8"/>
    <w:rsid w:val="15875F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2016-08-11T02:47:00Z</dcterms:created>
  <dc:creator>admin</dc:creator>
  <cp:lastModifiedBy>admin</cp:lastModifiedBy>
  <dcterms:modified xsi:type="dcterms:W3CDTF">2016-08-11T02:48:25Z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